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147E" w14:textId="77777777" w:rsidR="00806AB7" w:rsidRPr="00806AB7" w:rsidRDefault="00806AB7" w:rsidP="00806AB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b/>
          <w:bCs/>
          <w:color w:val="000000"/>
          <w:sz w:val="22"/>
          <w:szCs w:val="22"/>
          <w:lang w:val="it-IT"/>
        </w:rPr>
        <w:t>TRASPARENZA - NOTA METODOLOGICA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64D816D7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>Le società del Gruppo Hillrom, in quanto aziende associate a Confindustria Dispositivi Medici, pubblicano tutti i Trasferimenti di Valore al fine di garantire trasparenza e integrità nei rapporti con operatori medico-sanitari e stakeholder.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50F1139E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>Il Gruppo Hillrom rende pubblici i trasferimenti di valore effettuati direttamente o indirettamente ai Professionisti del Settore Sanitario (HCPs), alle Organizzazioni Sanitarie (HCO) ed alle Terze Parti, entro i primi sei mesi dell’anno successivo.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4B8A6240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16E80087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>TRASFERIMENTI DI VALORE: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5D68F543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>I trasferimenti possono essere effettuati: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1E95EA5A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>- in forma “diretta”: effettuati direttamente a beneficio del destinatario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784C3E75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>- in forma “indiretta”: effettuati attraverso un soggetto terzo.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2004FE73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>I trasferimenti di valore nei confronti dei Professionisti del Settore Sanitario (HCPs) sono identificati come: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7AA243A3" w14:textId="77777777" w:rsidR="00806AB7" w:rsidRPr="00806AB7" w:rsidRDefault="00806AB7" w:rsidP="00806AB7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Franklin Gothic Book" w:hAnsi="Franklin Gothic Book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>Diretti: spese per attività di consulenza e prestazioni professionali risultanti da uno specifico contratto (corrispettivi, spese di trasporti e pernottamenti, esclusi pasti e bevande)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3E09B774" w14:textId="77777777" w:rsidR="00806AB7" w:rsidRPr="00806AB7" w:rsidRDefault="00806AB7" w:rsidP="00806AB7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Franklin Gothic Book" w:hAnsi="Franklin Gothic Book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>Indiretti: spese di partecipazione a convegni e congressi, quota di iscrizione; trasporti e pernottamenti, esclusi pasti e bevande I trasferimenti di valore nei confronti di Organizzazioni Sanitarie (HCO) sono identificati, a titolo esemplificativo, come: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15CFC512" w14:textId="77777777" w:rsidR="00806AB7" w:rsidRPr="00806AB7" w:rsidRDefault="00806AB7" w:rsidP="00806AB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Franklin Gothic Book" w:hAnsi="Franklin Gothic Book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>donazioni in denaro o in altri beni, borse di studio;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5EC7F48A" w14:textId="77777777" w:rsidR="00806AB7" w:rsidRPr="00806AB7" w:rsidRDefault="00806AB7" w:rsidP="00806AB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Franklin Gothic Book" w:hAnsi="Franklin Gothic Book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>contributi diretti o indiretti, effettuati tramite strutture sanitarie o terze parti (provider), per la sponsorizzazione dell’organizzazione di convegni, congressi e seminari scientifici, che possono includere le quote di iscrizione e/o le spese di trasporti e pernottamenti trasferimenti di valore relativi a servizi professionali e consulenze risultanti da un contratto scritto che dettaglia il servizio da svolgere.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37FD4A65" w14:textId="77777777" w:rsidR="00806AB7" w:rsidRPr="00806AB7" w:rsidRDefault="00806AB7" w:rsidP="00806AB7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0B1BCCA0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b/>
          <w:bCs/>
          <w:color w:val="000000"/>
          <w:sz w:val="22"/>
          <w:szCs w:val="22"/>
          <w:lang w:val="it-IT"/>
        </w:rPr>
        <w:t>I DESTINATARI DEL TRASFERIMENTO DI VALORE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4485D7FD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b/>
          <w:bCs/>
          <w:color w:val="000000"/>
          <w:sz w:val="22"/>
          <w:szCs w:val="22"/>
          <w:lang w:val="it-IT"/>
        </w:rPr>
        <w:t>Professionisti del Settore Sanitario (HCPs)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5DBBD1C9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>Anche Individuati come HCP (Health Care Professional), o Operatori Sanitari, sono coloro i quali svolgono la loro attività professionale in ambito sanitario (medici, infermieri, personale di laboratorio,tecnici, ecc.) pubblico e /o privato, che nel corso della propria attività professionale abbiano la facoltà, direttamente o indirettamente, di acquistare, noleggiare, raccomandare,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096BF3CD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>gestire, usare, fornire, procurare o determinare l’acquisto ,il noleggio o la prescrizione di tecnologie mediche o servizi correlati.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0D74A28B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b/>
          <w:bCs/>
          <w:color w:val="000000"/>
          <w:sz w:val="22"/>
          <w:szCs w:val="22"/>
          <w:lang w:val="it-IT"/>
        </w:rPr>
        <w:t>Organizzazioni Sanitarie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4E8C6245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ranklin Gothic Book" w:hAnsi="Franklin Gothic Book"/>
          <w:color w:val="000000"/>
          <w:sz w:val="22"/>
          <w:szCs w:val="22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 xml:space="preserve">Anche individuate come HCO (Health Care Organization), sono qualsivoglia persona giuridica o ente (indipendentemente dalla forma od organizzazione giuridica), associazione od organizzazione sanitaria, medica o scientifica tramite cui uno o più Professionisti Sanitari prestano servizi oppure che sia in grado di esercitare una influenza diretta o indiretta su qualsivoglia prescrizione, raccomandazione, acquisto, ordine fornitura, utilizzo, vendita o noleggio di tecnologie mediche e di servizi correlati. </w:t>
      </w: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</w:rPr>
        <w:t xml:space="preserve">Esempi: ospedali, uffici acquisti centralizzati, cliniche, laboratori, farmacie, istituti di </w:t>
      </w:r>
    </w:p>
    <w:p w14:paraId="7AA2DE9C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Franklin Gothic Book" w:hAnsi="Franklin Gothic Book"/>
          <w:color w:val="000000"/>
          <w:sz w:val="22"/>
          <w:szCs w:val="22"/>
        </w:rPr>
      </w:pPr>
    </w:p>
    <w:p w14:paraId="5542F5F0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 xml:space="preserve">ricerca, associazioni, fondazioni, università, società scientifiche o altre istituzioni scolastiche o professionali. Sono ricomprese in tale definizione anche le Associazioni Pazienti, ovvero le </w:t>
      </w: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lastRenderedPageBreak/>
        <w:t>Organizzazioni che rappresentano e sostengono i bisogni dei pazienti e di chi li supporta (caregiver) nell’ambito di una specifica patologia o aspetto della salute.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04E1EE5A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b/>
          <w:bCs/>
          <w:color w:val="000000"/>
          <w:sz w:val="22"/>
          <w:szCs w:val="22"/>
          <w:lang w:val="it-IT"/>
        </w:rPr>
        <w:t>Terze Parti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6A81B754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>Si intendono i soggetti che propongono, organizzano, gestiscono, sia dal punto di vista scientifico, che logistico organizzativo, eventi di qualsivoglia genere e tipo, volti a soddisfare un’esigenza educazionale/formativa di natura scientifica o di diversa natura.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0D62FA0B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291F3A62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b/>
          <w:bCs/>
          <w:color w:val="000000"/>
          <w:sz w:val="22"/>
          <w:szCs w:val="22"/>
          <w:lang w:val="it-IT"/>
        </w:rPr>
        <w:t>CONSENSO DEGLI OPERATORI SANITARI ALLA PUBBLICAZIONE SU BASE INDIVIDUALE DEI DATI RELATIVI AI TRASFERIMENTI DI VALORE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2E0F98E5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>Le informazioni relative ai Trasferimenti di Valore costituiscono dati personali, pertanto, in accordo alla normativa in materia di protezione dei dati personali, è necessario che si ottenga il consenso da parte dei Professionisti Sanitari alla pubblicazione su base individuale, ossia nominativa.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2769541F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>In caso di negato consenso si inseriscono i Trasferimenti di Valore come dato aggregato.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0ECCF551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>METODOLOGIA DI PUBBLICAZIONE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67EBE5E9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>La Pubblicazione dei trasferimenti di valore verso le HCP avviene in forma individuale previo consenso scritto da parte dell’HCP; in caso contrario il trasferimento di valore viene pubblicato in forma aggregata.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5FE01267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>La Pubblicazione dei trasferimenti di valore verso le HCO avviene in forma individuale.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322EF5CD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>Tutte le informazioni saranno disponibili sul proprio sito di per 3 anni dalla data di pubblicazione.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4E988107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4B9AD54A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b/>
          <w:bCs/>
          <w:color w:val="000000"/>
          <w:sz w:val="22"/>
          <w:szCs w:val="22"/>
          <w:lang w:val="it-IT"/>
        </w:rPr>
        <w:t>MODALITÁ DI CALCOLO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0DF5595E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  <w:lang w:val="it-IT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>Per l’individuazione dell’ammontare dei trasferimenti di valore da pubblicare per ciascun anno solare, si utilizza il criterio della cassa.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  <w:lang w:val="it-IT"/>
        </w:rPr>
        <w:t> </w:t>
      </w:r>
    </w:p>
    <w:p w14:paraId="18722AB1" w14:textId="77777777" w:rsidR="00806AB7" w:rsidRPr="00806AB7" w:rsidRDefault="00806AB7" w:rsidP="00806AB7">
      <w:pPr>
        <w:pStyle w:val="paragraph"/>
        <w:spacing w:before="0" w:beforeAutospacing="0" w:after="0" w:afterAutospacing="0"/>
        <w:jc w:val="both"/>
        <w:textAlignment w:val="baseline"/>
        <w:rPr>
          <w:rFonts w:ascii="Franklin Gothic Book" w:hAnsi="Franklin Gothic Book" w:cs="Segoe UI"/>
          <w:sz w:val="22"/>
          <w:szCs w:val="22"/>
        </w:rPr>
      </w:pP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  <w:lang w:val="it-IT"/>
        </w:rPr>
        <w:t xml:space="preserve">I trasferimenti di valore indicati nella tabella di Trasparenza sono espressi in Euro e non includono l’IVA. </w:t>
      </w:r>
      <w:r w:rsidRPr="00806AB7">
        <w:rPr>
          <w:rStyle w:val="normaltextrun"/>
          <w:rFonts w:ascii="Franklin Gothic Book" w:hAnsi="Franklin Gothic Book"/>
          <w:color w:val="000000"/>
          <w:sz w:val="22"/>
          <w:szCs w:val="22"/>
        </w:rPr>
        <w:t>La ritenuta d’acconto (ove prevista) è inclusa.</w:t>
      </w:r>
      <w:r w:rsidRPr="00806AB7">
        <w:rPr>
          <w:rStyle w:val="eop"/>
          <w:rFonts w:ascii="Franklin Gothic Book" w:hAnsi="Franklin Gothic Book"/>
          <w:color w:val="000000"/>
          <w:sz w:val="22"/>
          <w:szCs w:val="22"/>
        </w:rPr>
        <w:t> </w:t>
      </w:r>
    </w:p>
    <w:p w14:paraId="6EDC7CF9" w14:textId="77777777" w:rsidR="00806AB7" w:rsidRPr="00806AB7" w:rsidRDefault="00806AB7" w:rsidP="00806AB7">
      <w:pPr>
        <w:rPr>
          <w:rFonts w:ascii="Franklin Gothic Book" w:hAnsi="Franklin Gothic Book"/>
        </w:rPr>
      </w:pPr>
    </w:p>
    <w:p w14:paraId="4EA513E7" w14:textId="2DF96C05" w:rsidR="00506073" w:rsidRPr="00806AB7" w:rsidRDefault="00506073" w:rsidP="0014228B">
      <w:pPr>
        <w:spacing w:after="200"/>
        <w:rPr>
          <w:rFonts w:ascii="Franklin Gothic Book" w:eastAsia="Franklin Gothic Book" w:hAnsi="Franklin Gothic Book" w:cs="Franklin Gothic Book"/>
          <w:color w:val="000000"/>
          <w:sz w:val="22"/>
          <w:szCs w:val="22"/>
        </w:rPr>
      </w:pPr>
    </w:p>
    <w:p w14:paraId="7D104BED" w14:textId="77777777" w:rsidR="00506073" w:rsidRPr="00806AB7" w:rsidRDefault="00506073" w:rsidP="0014228B">
      <w:pPr>
        <w:spacing w:after="200"/>
        <w:rPr>
          <w:rFonts w:ascii="Franklin Gothic Book" w:eastAsia="Franklin Gothic Book" w:hAnsi="Franklin Gothic Book" w:cs="Franklin Gothic Book"/>
          <w:color w:val="000000"/>
          <w:sz w:val="22"/>
          <w:szCs w:val="22"/>
        </w:rPr>
      </w:pPr>
    </w:p>
    <w:sectPr w:rsidR="00506073" w:rsidRPr="00806AB7" w:rsidSect="008537B9">
      <w:headerReference w:type="default" r:id="rId11"/>
      <w:footerReference w:type="default" r:id="rId12"/>
      <w:pgSz w:w="11901" w:h="16817"/>
      <w:pgMar w:top="2552" w:right="1418" w:bottom="1418" w:left="1701" w:header="822" w:footer="17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5E95" w14:textId="77777777" w:rsidR="00726FF7" w:rsidRDefault="00726FF7" w:rsidP="000D49AD">
      <w:r>
        <w:separator/>
      </w:r>
    </w:p>
  </w:endnote>
  <w:endnote w:type="continuationSeparator" w:id="0">
    <w:p w14:paraId="494BBA28" w14:textId="77777777" w:rsidR="00726FF7" w:rsidRDefault="00726FF7" w:rsidP="000D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charset w:val="00"/>
    <w:family w:val="auto"/>
    <w:pitch w:val="variable"/>
    <w:sig w:usb0="00000003" w:usb1="00000000" w:usb2="00000000" w:usb3="00000000" w:csb0="0000000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C839" w14:textId="427D4E18" w:rsidR="00E300AF" w:rsidRDefault="008537B9">
    <w:pPr>
      <w:pStyle w:val="Pidipagina"/>
    </w:pPr>
    <w:r w:rsidRPr="00E300AF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D690697" wp14:editId="5EBA8D48">
              <wp:simplePos x="0" y="0"/>
              <wp:positionH relativeFrom="page">
                <wp:posOffset>4058285</wp:posOffset>
              </wp:positionH>
              <wp:positionV relativeFrom="paragraph">
                <wp:posOffset>375285</wp:posOffset>
              </wp:positionV>
              <wp:extent cx="1139190" cy="492760"/>
              <wp:effectExtent l="0" t="0" r="3810" b="254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9190" cy="4927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linkedTxbx id="1" seq="1"/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69069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19.55pt;margin-top:29.55pt;width:89.7pt;height:38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" fillcolor="window" stroked="f" strokeweight=".5pt">
              <v:textbox style="mso-next-textbox:#Text Box 12" inset="0,0,0,0">
                <w:txbxContent/>
              </v:textbox>
              <w10:wrap anchorx="page"/>
            </v:shape>
          </w:pict>
        </mc:Fallback>
      </mc:AlternateContent>
    </w:r>
    <w:r w:rsidRPr="00E300AF">
      <w:rPr>
        <w:noProof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73233B86" wp14:editId="17CAEB88">
              <wp:simplePos x="0" y="0"/>
              <wp:positionH relativeFrom="page">
                <wp:posOffset>751205</wp:posOffset>
              </wp:positionH>
              <wp:positionV relativeFrom="paragraph">
                <wp:posOffset>342265</wp:posOffset>
              </wp:positionV>
              <wp:extent cx="1452245" cy="57721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245" cy="577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 id="1">
                      <w:txbxContent>
                        <w:p w14:paraId="60B0D9AC" w14:textId="77777777" w:rsidR="00E300AF" w:rsidRPr="001F6FD4" w:rsidRDefault="00E300AF" w:rsidP="0058348A">
                          <w:pPr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en-US"/>
                            </w:rPr>
                          </w:pPr>
                          <w:r w:rsidRPr="001F6FD4"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en-US"/>
                            </w:rPr>
                            <w:t xml:space="preserve">Hill-Rom S.p.A. </w:t>
                          </w:r>
                        </w:p>
                        <w:p w14:paraId="7B9B8E32" w14:textId="77777777" w:rsidR="00E300AF" w:rsidRPr="00707FF7" w:rsidRDefault="00E300AF" w:rsidP="00707FF7">
                          <w:pPr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it-IT"/>
                            </w:rPr>
                          </w:pPr>
                          <w:r w:rsidRPr="00707FF7"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it-IT"/>
                            </w:rPr>
                            <w:t xml:space="preserve">Socio unico, soggetta alla direzione e coordinamento di Hill-Rom Sarl </w:t>
                          </w:r>
                        </w:p>
                        <w:p w14:paraId="19AB17E4" w14:textId="77777777" w:rsidR="00E300AF" w:rsidRPr="00707FF7" w:rsidRDefault="00E300AF" w:rsidP="00707FF7">
                          <w:pPr>
                            <w:ind w:left="-284"/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it-IT"/>
                            </w:rPr>
                          </w:pPr>
                        </w:p>
                        <w:p w14:paraId="12462149" w14:textId="77777777" w:rsidR="00E300AF" w:rsidRPr="00506073" w:rsidRDefault="00E300AF" w:rsidP="00707FF7">
                          <w:pPr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en-US"/>
                            </w:rPr>
                          </w:pPr>
                          <w:r w:rsidRPr="00506073"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en-US"/>
                            </w:rPr>
                            <w:t>hillrom.com</w:t>
                          </w:r>
                        </w:p>
                        <w:p w14:paraId="27779EC0" w14:textId="70019DC6" w:rsidR="00E300AF" w:rsidRPr="00707FF7" w:rsidRDefault="00E300AF" w:rsidP="0058348A">
                          <w:pPr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en-US"/>
                            </w:rPr>
                          </w:pPr>
                          <w:r w:rsidRPr="00707FF7"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en-US"/>
                            </w:rPr>
                            <w:t>Tel.</w:t>
                          </w:r>
                          <w:r w:rsidR="0037353C" w:rsidRPr="00707FF7"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en-US"/>
                            </w:rPr>
                            <w:t xml:space="preserve">   </w:t>
                          </w:r>
                          <w:r w:rsidRPr="00707FF7"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en-US"/>
                            </w:rPr>
                            <w:t>+39 02 950541</w:t>
                          </w:r>
                        </w:p>
                        <w:p w14:paraId="3311EC30" w14:textId="15A340F9" w:rsidR="00E300AF" w:rsidRPr="00707FF7" w:rsidRDefault="00E300AF" w:rsidP="0058348A">
                          <w:pPr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en-US"/>
                            </w:rPr>
                          </w:pPr>
                          <w:r w:rsidRPr="00707FF7"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en-US"/>
                            </w:rPr>
                            <w:t>Fax</w:t>
                          </w:r>
                          <w:r w:rsidR="0037353C" w:rsidRPr="00707FF7"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en-US"/>
                            </w:rPr>
                            <w:t xml:space="preserve">   </w:t>
                          </w:r>
                          <w:r w:rsidRPr="00707FF7"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en-US"/>
                            </w:rPr>
                            <w:t>+39 02 95328578</w:t>
                          </w:r>
                        </w:p>
                        <w:p w14:paraId="519ECF5E" w14:textId="2376EA5F" w:rsidR="00E300AF" w:rsidRPr="00707FF7" w:rsidRDefault="00E300AF" w:rsidP="0058348A">
                          <w:pPr>
                            <w:rPr>
                              <w:rFonts w:ascii="Franklin Gothic Book" w:eastAsia="Franklin Gothic Book" w:hAnsi="Franklin Gothic Book" w:cs="Franklin Gothic Book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240A0313" w14:textId="2F24AB19" w:rsidR="00E300AF" w:rsidRPr="00707FF7" w:rsidRDefault="00E300AF" w:rsidP="0058348A">
                          <w:pPr>
                            <w:rPr>
                              <w:rFonts w:ascii="Franklin Gothic Book" w:eastAsia="Franklin Gothic Book" w:hAnsi="Franklin Gothic Book" w:cs="Franklin Gothic Book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4B8405F3" w14:textId="77777777" w:rsidR="0058348A" w:rsidRPr="00707FF7" w:rsidRDefault="0058348A" w:rsidP="0058348A">
                          <w:pPr>
                            <w:rPr>
                              <w:rFonts w:ascii="Franklin Gothic Book" w:eastAsia="Franklin Gothic Book" w:hAnsi="Franklin Gothic Book" w:cs="Franklin Gothic Book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5486327F" w14:textId="1E2D50DE" w:rsidR="00E300AF" w:rsidRPr="00707FF7" w:rsidRDefault="00E300AF" w:rsidP="00707FF7">
                          <w:pPr>
                            <w:ind w:right="-394"/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en-US"/>
                            </w:rPr>
                          </w:pPr>
                          <w:r w:rsidRPr="00707FF7"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en-US"/>
                            </w:rPr>
                            <w:t xml:space="preserve">C.F. / P.IVA 08817300158  </w:t>
                          </w:r>
                        </w:p>
                        <w:p w14:paraId="3B4C1AD0" w14:textId="77777777" w:rsidR="00E300AF" w:rsidRPr="00707FF7" w:rsidRDefault="00E300AF" w:rsidP="00707FF7">
                          <w:pPr>
                            <w:ind w:right="-394"/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it-IT"/>
                            </w:rPr>
                          </w:pPr>
                          <w:r w:rsidRPr="00707FF7"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it-IT"/>
                            </w:rPr>
                            <w:t>R.E.A. di Milano n. 1248598</w:t>
                          </w:r>
                        </w:p>
                        <w:p w14:paraId="71AD6DE2" w14:textId="77777777" w:rsidR="00E300AF" w:rsidRPr="00707FF7" w:rsidRDefault="00E300AF" w:rsidP="00707FF7">
                          <w:pPr>
                            <w:ind w:right="-394"/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it-IT"/>
                            </w:rPr>
                          </w:pPr>
                          <w:r w:rsidRPr="00707FF7"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it-IT"/>
                            </w:rPr>
                            <w:t>Capitale Sociale € 520.000,00 i.v.</w:t>
                          </w:r>
                        </w:p>
                        <w:p w14:paraId="255D6C84" w14:textId="77777777" w:rsidR="00E300AF" w:rsidRPr="0058348A" w:rsidRDefault="00E300AF" w:rsidP="00707FF7">
                          <w:pPr>
                            <w:ind w:right="-394"/>
                            <w:rPr>
                              <w:rFonts w:ascii="Franklin Gothic Book" w:eastAsia="Franklin Gothic Book" w:hAnsi="Franklin Gothic Book" w:cs="Franklin Gothic Book"/>
                              <w:sz w:val="12"/>
                              <w:szCs w:val="12"/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233B86" id="Text Box 4" o:spid="_x0000_s1027" type="#_x0000_t202" style="position:absolute;margin-left:59.15pt;margin-top:26.95pt;width:114.35pt;height:45.4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" fillcolor="window" stroked="f" strokeweight=".5pt">
              <v:textbox style="mso-next-textbox:#Text Box 9" inset="0,0,0,0">
                <w:txbxContent>
                  <w:p w14:paraId="60B0D9AC" w14:textId="77777777" w:rsidR="00E300AF" w:rsidRPr="001F6FD4" w:rsidRDefault="00E300AF" w:rsidP="0058348A">
                    <w:pPr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en-US"/>
                      </w:rPr>
                    </w:pPr>
                    <w:r w:rsidRPr="001F6FD4"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en-US"/>
                      </w:rPr>
                      <w:t xml:space="preserve">Hill-Rom S.p.A. </w:t>
                    </w:r>
                  </w:p>
                  <w:p w14:paraId="7B9B8E32" w14:textId="77777777" w:rsidR="00E300AF" w:rsidRPr="00707FF7" w:rsidRDefault="00E300AF" w:rsidP="00707FF7">
                    <w:pPr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it-IT"/>
                      </w:rPr>
                    </w:pPr>
                    <w:r w:rsidRPr="00707FF7"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it-IT"/>
                      </w:rPr>
                      <w:t xml:space="preserve">Socio unico, soggetta alla direzione e coordinamento di Hill-Rom Sarl </w:t>
                    </w:r>
                  </w:p>
                  <w:p w14:paraId="19AB17E4" w14:textId="77777777" w:rsidR="00E300AF" w:rsidRPr="00707FF7" w:rsidRDefault="00E300AF" w:rsidP="00707FF7">
                    <w:pPr>
                      <w:ind w:left="-284"/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it-IT"/>
                      </w:rPr>
                    </w:pPr>
                  </w:p>
                  <w:p w14:paraId="12462149" w14:textId="77777777" w:rsidR="00E300AF" w:rsidRPr="00506073" w:rsidRDefault="00E300AF" w:rsidP="00707FF7">
                    <w:pPr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en-US"/>
                      </w:rPr>
                    </w:pPr>
                    <w:r w:rsidRPr="00506073"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en-US"/>
                      </w:rPr>
                      <w:t>hillrom.com</w:t>
                    </w:r>
                  </w:p>
                  <w:p w14:paraId="27779EC0" w14:textId="70019DC6" w:rsidR="00E300AF" w:rsidRPr="00707FF7" w:rsidRDefault="00E300AF" w:rsidP="0058348A">
                    <w:pPr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en-US"/>
                      </w:rPr>
                    </w:pPr>
                    <w:r w:rsidRPr="00707FF7"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en-US"/>
                      </w:rPr>
                      <w:t>Tel.</w:t>
                    </w:r>
                    <w:r w:rsidR="0037353C" w:rsidRPr="00707FF7"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en-US"/>
                      </w:rPr>
                      <w:t xml:space="preserve">   </w:t>
                    </w:r>
                    <w:r w:rsidRPr="00707FF7"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en-US"/>
                      </w:rPr>
                      <w:t>+39 02 950541</w:t>
                    </w:r>
                  </w:p>
                  <w:p w14:paraId="3311EC30" w14:textId="15A340F9" w:rsidR="00E300AF" w:rsidRPr="00707FF7" w:rsidRDefault="00E300AF" w:rsidP="0058348A">
                    <w:pPr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en-US"/>
                      </w:rPr>
                    </w:pPr>
                    <w:r w:rsidRPr="00707FF7"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en-US"/>
                      </w:rPr>
                      <w:t>Fax</w:t>
                    </w:r>
                    <w:r w:rsidR="0037353C" w:rsidRPr="00707FF7"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en-US"/>
                      </w:rPr>
                      <w:t xml:space="preserve">   </w:t>
                    </w:r>
                    <w:r w:rsidRPr="00707FF7"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en-US"/>
                      </w:rPr>
                      <w:t>+39 02 95328578</w:t>
                    </w:r>
                  </w:p>
                  <w:p w14:paraId="519ECF5E" w14:textId="2376EA5F" w:rsidR="00E300AF" w:rsidRPr="00707FF7" w:rsidRDefault="00E300AF" w:rsidP="0058348A">
                    <w:pPr>
                      <w:rPr>
                        <w:rFonts w:ascii="Franklin Gothic Book" w:eastAsia="Franklin Gothic Book" w:hAnsi="Franklin Gothic Book" w:cs="Franklin Gothic Book"/>
                        <w:sz w:val="12"/>
                        <w:szCs w:val="12"/>
                        <w:lang w:val="en-US"/>
                      </w:rPr>
                    </w:pPr>
                  </w:p>
                  <w:p w14:paraId="240A0313" w14:textId="2F24AB19" w:rsidR="00E300AF" w:rsidRPr="00707FF7" w:rsidRDefault="00E300AF" w:rsidP="0058348A">
                    <w:pPr>
                      <w:rPr>
                        <w:rFonts w:ascii="Franklin Gothic Book" w:eastAsia="Franklin Gothic Book" w:hAnsi="Franklin Gothic Book" w:cs="Franklin Gothic Book"/>
                        <w:sz w:val="12"/>
                        <w:szCs w:val="12"/>
                        <w:lang w:val="en-US"/>
                      </w:rPr>
                    </w:pPr>
                  </w:p>
                  <w:p w14:paraId="4B8405F3" w14:textId="77777777" w:rsidR="0058348A" w:rsidRPr="00707FF7" w:rsidRDefault="0058348A" w:rsidP="0058348A">
                    <w:pPr>
                      <w:rPr>
                        <w:rFonts w:ascii="Franklin Gothic Book" w:eastAsia="Franklin Gothic Book" w:hAnsi="Franklin Gothic Book" w:cs="Franklin Gothic Book"/>
                        <w:sz w:val="12"/>
                        <w:szCs w:val="12"/>
                        <w:lang w:val="en-US"/>
                      </w:rPr>
                    </w:pPr>
                  </w:p>
                  <w:p w14:paraId="5486327F" w14:textId="1E2D50DE" w:rsidR="00E300AF" w:rsidRPr="00707FF7" w:rsidRDefault="00E300AF" w:rsidP="00707FF7">
                    <w:pPr>
                      <w:ind w:right="-394"/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en-US"/>
                      </w:rPr>
                    </w:pPr>
                    <w:r w:rsidRPr="00707FF7"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en-US"/>
                      </w:rPr>
                      <w:t xml:space="preserve">C.F. / P.IVA 08817300158  </w:t>
                    </w:r>
                  </w:p>
                  <w:p w14:paraId="3B4C1AD0" w14:textId="77777777" w:rsidR="00E300AF" w:rsidRPr="00707FF7" w:rsidRDefault="00E300AF" w:rsidP="00707FF7">
                    <w:pPr>
                      <w:ind w:right="-394"/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it-IT"/>
                      </w:rPr>
                    </w:pPr>
                    <w:r w:rsidRPr="00707FF7"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it-IT"/>
                      </w:rPr>
                      <w:t>R.E.A. di Milano n. 1248598</w:t>
                    </w:r>
                  </w:p>
                  <w:p w14:paraId="71AD6DE2" w14:textId="77777777" w:rsidR="00E300AF" w:rsidRPr="00707FF7" w:rsidRDefault="00E300AF" w:rsidP="00707FF7">
                    <w:pPr>
                      <w:ind w:right="-394"/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it-IT"/>
                      </w:rPr>
                    </w:pPr>
                    <w:r w:rsidRPr="00707FF7"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it-IT"/>
                      </w:rPr>
                      <w:t>Capitale Sociale € 520.000,00 i.v.</w:t>
                    </w:r>
                  </w:p>
                  <w:p w14:paraId="255D6C84" w14:textId="77777777" w:rsidR="00E300AF" w:rsidRPr="0058348A" w:rsidRDefault="00E300AF" w:rsidP="00707FF7">
                    <w:pPr>
                      <w:ind w:right="-394"/>
                      <w:rPr>
                        <w:rFonts w:ascii="Franklin Gothic Book" w:eastAsia="Franklin Gothic Book" w:hAnsi="Franklin Gothic Book" w:cs="Franklin Gothic Book"/>
                        <w:sz w:val="12"/>
                        <w:szCs w:val="12"/>
                        <w:lang w:val="it-IT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E300AF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6BC6269" wp14:editId="1C417FA7">
              <wp:simplePos x="0" y="0"/>
              <wp:positionH relativeFrom="page">
                <wp:posOffset>2523490</wp:posOffset>
              </wp:positionH>
              <wp:positionV relativeFrom="paragraph">
                <wp:posOffset>361950</wp:posOffset>
              </wp:positionV>
              <wp:extent cx="1219200" cy="492760"/>
              <wp:effectExtent l="0" t="0" r="0" b="2540"/>
              <wp:wrapNone/>
              <wp:docPr id="1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4927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18CFB6" w14:textId="77777777" w:rsidR="00E300AF" w:rsidRPr="00707FF7" w:rsidRDefault="00E300AF" w:rsidP="0058348A">
                          <w:pPr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it-IT"/>
                            </w:rPr>
                          </w:pPr>
                          <w:r w:rsidRPr="00707FF7"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it-IT"/>
                            </w:rPr>
                            <w:t xml:space="preserve">Sede legale e amministrativa </w:t>
                          </w:r>
                        </w:p>
                        <w:p w14:paraId="2EE51EBC" w14:textId="77777777" w:rsidR="00E300AF" w:rsidRPr="00707FF7" w:rsidRDefault="00E300AF" w:rsidP="00E300AF">
                          <w:pPr>
                            <w:tabs>
                              <w:tab w:val="left" w:pos="426"/>
                            </w:tabs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it-IT"/>
                            </w:rPr>
                          </w:pPr>
                          <w:r w:rsidRPr="00707FF7"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it-IT"/>
                            </w:rPr>
                            <w:t>Via Ambrosoli, 6</w:t>
                          </w:r>
                        </w:p>
                        <w:p w14:paraId="26D8CCD1" w14:textId="77777777" w:rsidR="00E300AF" w:rsidRPr="00707FF7" w:rsidRDefault="00E300AF" w:rsidP="00E300AF">
                          <w:pPr>
                            <w:tabs>
                              <w:tab w:val="left" w:pos="426"/>
                            </w:tabs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it-IT"/>
                            </w:rPr>
                          </w:pPr>
                          <w:r w:rsidRPr="00707FF7">
                            <w:rPr>
                              <w:rFonts w:ascii="Franklin Gothic Book" w:eastAsia="Franklin Gothic Book" w:hAnsi="Franklin Gothic Book" w:cs="Franklin Gothic Book"/>
                              <w:sz w:val="14"/>
                              <w:szCs w:val="14"/>
                              <w:lang w:val="it-IT"/>
                            </w:rPr>
                            <w:t>20053 Rodano (MI) - Italia</w:t>
                          </w:r>
                        </w:p>
                        <w:p w14:paraId="66364271" w14:textId="77777777" w:rsidR="00E300AF" w:rsidRPr="0058348A" w:rsidRDefault="00E300AF" w:rsidP="00E300AF">
                          <w:pPr>
                            <w:tabs>
                              <w:tab w:val="left" w:pos="426"/>
                            </w:tabs>
                            <w:rPr>
                              <w:rFonts w:ascii="Franklin Gothic Book" w:eastAsia="Franklin Gothic Book" w:hAnsi="Franklin Gothic Book" w:cs="Franklin Gothic Book"/>
                              <w:sz w:val="12"/>
                              <w:szCs w:val="12"/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BC6269" id="_x0000_s1028" type="#_x0000_t202" style="position:absolute;margin-left:198.7pt;margin-top:28.5pt;width:96pt;height:38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" fillcolor="window" stroked="f" strokeweight=".5pt">
              <v:textbox inset="0,0,0,0">
                <w:txbxContent>
                  <w:p w14:paraId="0C18CFB6" w14:textId="77777777" w:rsidR="00E300AF" w:rsidRPr="00707FF7" w:rsidRDefault="00E300AF" w:rsidP="0058348A">
                    <w:pPr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it-IT"/>
                      </w:rPr>
                    </w:pPr>
                    <w:r w:rsidRPr="00707FF7"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it-IT"/>
                      </w:rPr>
                      <w:t xml:space="preserve">Sede legale e amministrativa </w:t>
                    </w:r>
                  </w:p>
                  <w:p w14:paraId="2EE51EBC" w14:textId="77777777" w:rsidR="00E300AF" w:rsidRPr="00707FF7" w:rsidRDefault="00E300AF" w:rsidP="00E300AF">
                    <w:pPr>
                      <w:tabs>
                        <w:tab w:val="left" w:pos="426"/>
                      </w:tabs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it-IT"/>
                      </w:rPr>
                    </w:pPr>
                    <w:r w:rsidRPr="00707FF7"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it-IT"/>
                      </w:rPr>
                      <w:t>Via Ambrosoli, 6</w:t>
                    </w:r>
                  </w:p>
                  <w:p w14:paraId="26D8CCD1" w14:textId="77777777" w:rsidR="00E300AF" w:rsidRPr="00707FF7" w:rsidRDefault="00E300AF" w:rsidP="00E300AF">
                    <w:pPr>
                      <w:tabs>
                        <w:tab w:val="left" w:pos="426"/>
                      </w:tabs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it-IT"/>
                      </w:rPr>
                    </w:pPr>
                    <w:r w:rsidRPr="00707FF7">
                      <w:rPr>
                        <w:rFonts w:ascii="Franklin Gothic Book" w:eastAsia="Franklin Gothic Book" w:hAnsi="Franklin Gothic Book" w:cs="Franklin Gothic Book"/>
                        <w:sz w:val="14"/>
                        <w:szCs w:val="14"/>
                        <w:lang w:val="it-IT"/>
                      </w:rPr>
                      <w:t>20053 Rodano (MI) - Italia</w:t>
                    </w:r>
                  </w:p>
                  <w:p w14:paraId="66364271" w14:textId="77777777" w:rsidR="00E300AF" w:rsidRPr="0058348A" w:rsidRDefault="00E300AF" w:rsidP="00E300AF">
                    <w:pPr>
                      <w:tabs>
                        <w:tab w:val="left" w:pos="426"/>
                      </w:tabs>
                      <w:rPr>
                        <w:rFonts w:ascii="Franklin Gothic Book" w:eastAsia="Franklin Gothic Book" w:hAnsi="Franklin Gothic Book" w:cs="Franklin Gothic Book"/>
                        <w:sz w:val="12"/>
                        <w:szCs w:val="12"/>
                        <w:lang w:val="it-IT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E300AF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5C86950" wp14:editId="7C4FCB91">
              <wp:simplePos x="0" y="0"/>
              <wp:positionH relativeFrom="column">
                <wp:posOffset>4428490</wp:posOffset>
              </wp:positionH>
              <wp:positionV relativeFrom="paragraph">
                <wp:posOffset>372277</wp:posOffset>
              </wp:positionV>
              <wp:extent cx="1461770" cy="482600"/>
              <wp:effectExtent l="0" t="0" r="5080" b="0"/>
              <wp:wrapNone/>
              <wp:docPr id="12" name="Text Box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1461770" cy="482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linkedTxbx id="1" seq="2"/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C86950" id="Text Box 12" o:spid="_x0000_s1029" type="#_x0000_t202" style="position:absolute;margin-left:348.7pt;margin-top:29.3pt;width:115.1pt;height:3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" fillcolor="window" stroked="f" strokeweight=".5pt">
              <o:lock v:ext="edit" aspectratio="t"/>
              <v:textbox inset="0,0,0,0">
                <w:txbxContent/>
              </v:textbox>
            </v:shape>
          </w:pict>
        </mc:Fallback>
      </mc:AlternateContent>
    </w:r>
    <w:r w:rsidR="005550A0">
      <w:rPr>
        <w:noProof/>
      </w:rPr>
      <w:drawing>
        <wp:anchor distT="0" distB="0" distL="114300" distR="114300" simplePos="0" relativeHeight="251671040" behindDoc="0" locked="0" layoutInCell="1" allowOverlap="1" wp14:anchorId="5E8BFAA1" wp14:editId="08B38FB8">
          <wp:simplePos x="0" y="0"/>
          <wp:positionH relativeFrom="margin">
            <wp:align>center</wp:align>
          </wp:positionH>
          <wp:positionV relativeFrom="paragraph">
            <wp:posOffset>30538</wp:posOffset>
          </wp:positionV>
          <wp:extent cx="6234545" cy="201596"/>
          <wp:effectExtent l="0" t="0" r="0" b="8255"/>
          <wp:wrapNone/>
          <wp:docPr id="77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4545" cy="2015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2CF7" w14:textId="77777777" w:rsidR="00726FF7" w:rsidRDefault="00726FF7" w:rsidP="000D49AD">
      <w:r>
        <w:separator/>
      </w:r>
    </w:p>
  </w:footnote>
  <w:footnote w:type="continuationSeparator" w:id="0">
    <w:p w14:paraId="32DB242A" w14:textId="77777777" w:rsidR="00726FF7" w:rsidRDefault="00726FF7" w:rsidP="000D4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9E80" w14:textId="0FB3119C" w:rsidR="004D2C9D" w:rsidRDefault="001126A7" w:rsidP="004D20E3">
    <w:pPr>
      <w:pStyle w:val="Intestazione"/>
      <w:tabs>
        <w:tab w:val="left" w:pos="142"/>
      </w:tabs>
      <w:ind w:left="-851"/>
    </w:pPr>
    <w:r>
      <w:rPr>
        <w:noProof/>
      </w:rPr>
      <w:drawing>
        <wp:anchor distT="0" distB="0" distL="114300" distR="114300" simplePos="0" relativeHeight="251667968" behindDoc="1" locked="0" layoutInCell="1" allowOverlap="1" wp14:anchorId="73A2F85B" wp14:editId="2496A8E8">
          <wp:simplePos x="0" y="0"/>
          <wp:positionH relativeFrom="margin">
            <wp:posOffset>-361950</wp:posOffset>
          </wp:positionH>
          <wp:positionV relativeFrom="paragraph">
            <wp:posOffset>59055</wp:posOffset>
          </wp:positionV>
          <wp:extent cx="1188720" cy="411480"/>
          <wp:effectExtent l="0" t="0" r="0" b="7620"/>
          <wp:wrapSquare wrapText="bothSides"/>
          <wp:docPr id="75" name="Immagine 7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274">
      <w:rPr>
        <w:noProof/>
      </w:rPr>
      <w:drawing>
        <wp:anchor distT="0" distB="0" distL="114300" distR="114300" simplePos="0" relativeHeight="251663872" behindDoc="1" locked="1" layoutInCell="1" allowOverlap="0" wp14:anchorId="4E1EA36F" wp14:editId="47AAB39E">
          <wp:simplePos x="0" y="0"/>
          <wp:positionH relativeFrom="column">
            <wp:posOffset>4722495</wp:posOffset>
          </wp:positionH>
          <wp:positionV relativeFrom="page">
            <wp:posOffset>674370</wp:posOffset>
          </wp:positionV>
          <wp:extent cx="1188720" cy="219710"/>
          <wp:effectExtent l="0" t="0" r="0" b="8890"/>
          <wp:wrapSquare wrapText="bothSides"/>
          <wp:docPr id="76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72B4"/>
    <w:multiLevelType w:val="hybridMultilevel"/>
    <w:tmpl w:val="584A7D5C"/>
    <w:lvl w:ilvl="0" w:tplc="D1AA109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B17"/>
    <w:multiLevelType w:val="multilevel"/>
    <w:tmpl w:val="2BAA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923815"/>
    <w:multiLevelType w:val="multilevel"/>
    <w:tmpl w:val="802221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9E516B4"/>
    <w:multiLevelType w:val="multilevel"/>
    <w:tmpl w:val="4FF4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6269026">
    <w:abstractNumId w:val="0"/>
  </w:num>
  <w:num w:numId="2" w16cid:durableId="49152423">
    <w:abstractNumId w:val="1"/>
  </w:num>
  <w:num w:numId="3" w16cid:durableId="208806040">
    <w:abstractNumId w:val="3"/>
  </w:num>
  <w:num w:numId="4" w16cid:durableId="777798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E6"/>
    <w:rsid w:val="00010E2B"/>
    <w:rsid w:val="00032C47"/>
    <w:rsid w:val="00040ED1"/>
    <w:rsid w:val="00047883"/>
    <w:rsid w:val="00051375"/>
    <w:rsid w:val="000562FA"/>
    <w:rsid w:val="000846BC"/>
    <w:rsid w:val="000B0219"/>
    <w:rsid w:val="000C02BF"/>
    <w:rsid w:val="000C51B8"/>
    <w:rsid w:val="000C6AE6"/>
    <w:rsid w:val="000C6AEC"/>
    <w:rsid w:val="000D49AD"/>
    <w:rsid w:val="000E30E6"/>
    <w:rsid w:val="00111606"/>
    <w:rsid w:val="001126A7"/>
    <w:rsid w:val="00120147"/>
    <w:rsid w:val="00127135"/>
    <w:rsid w:val="00134E34"/>
    <w:rsid w:val="0014228B"/>
    <w:rsid w:val="00146B88"/>
    <w:rsid w:val="00163C8B"/>
    <w:rsid w:val="001674DF"/>
    <w:rsid w:val="001861F3"/>
    <w:rsid w:val="00186203"/>
    <w:rsid w:val="001A38D1"/>
    <w:rsid w:val="001A6255"/>
    <w:rsid w:val="001C41E9"/>
    <w:rsid w:val="001D2FA1"/>
    <w:rsid w:val="001E37BE"/>
    <w:rsid w:val="001E5755"/>
    <w:rsid w:val="001E7A06"/>
    <w:rsid w:val="001F6FD4"/>
    <w:rsid w:val="001F7B5C"/>
    <w:rsid w:val="0020364C"/>
    <w:rsid w:val="0022047C"/>
    <w:rsid w:val="0022721F"/>
    <w:rsid w:val="00227F97"/>
    <w:rsid w:val="00232AFB"/>
    <w:rsid w:val="00245211"/>
    <w:rsid w:val="00251E4D"/>
    <w:rsid w:val="0025203A"/>
    <w:rsid w:val="002652C8"/>
    <w:rsid w:val="00282C42"/>
    <w:rsid w:val="00287F85"/>
    <w:rsid w:val="002D18AF"/>
    <w:rsid w:val="002D4E0F"/>
    <w:rsid w:val="002D7659"/>
    <w:rsid w:val="003017BE"/>
    <w:rsid w:val="003075D5"/>
    <w:rsid w:val="00312274"/>
    <w:rsid w:val="003224F8"/>
    <w:rsid w:val="00345E35"/>
    <w:rsid w:val="003534E7"/>
    <w:rsid w:val="00353FF7"/>
    <w:rsid w:val="003726B0"/>
    <w:rsid w:val="0037353C"/>
    <w:rsid w:val="00385ABB"/>
    <w:rsid w:val="00391899"/>
    <w:rsid w:val="0039375C"/>
    <w:rsid w:val="003C23B7"/>
    <w:rsid w:val="004116CB"/>
    <w:rsid w:val="004246AE"/>
    <w:rsid w:val="00435C9D"/>
    <w:rsid w:val="004416F2"/>
    <w:rsid w:val="004562BC"/>
    <w:rsid w:val="00462249"/>
    <w:rsid w:val="00464AE6"/>
    <w:rsid w:val="00475A19"/>
    <w:rsid w:val="00487530"/>
    <w:rsid w:val="00487F5F"/>
    <w:rsid w:val="004967C2"/>
    <w:rsid w:val="004A3339"/>
    <w:rsid w:val="004C3D64"/>
    <w:rsid w:val="004D20E3"/>
    <w:rsid w:val="004D2BBB"/>
    <w:rsid w:val="004D2C9D"/>
    <w:rsid w:val="00506073"/>
    <w:rsid w:val="00507102"/>
    <w:rsid w:val="00530632"/>
    <w:rsid w:val="00530A53"/>
    <w:rsid w:val="0053105B"/>
    <w:rsid w:val="0053705E"/>
    <w:rsid w:val="005550A0"/>
    <w:rsid w:val="005616DD"/>
    <w:rsid w:val="00573266"/>
    <w:rsid w:val="0058348A"/>
    <w:rsid w:val="00591FFD"/>
    <w:rsid w:val="005A4EAB"/>
    <w:rsid w:val="005B6336"/>
    <w:rsid w:val="005C597E"/>
    <w:rsid w:val="005D1EDA"/>
    <w:rsid w:val="005D6DD3"/>
    <w:rsid w:val="005E2222"/>
    <w:rsid w:val="005F220C"/>
    <w:rsid w:val="006236A0"/>
    <w:rsid w:val="006336B3"/>
    <w:rsid w:val="00640750"/>
    <w:rsid w:val="00676E65"/>
    <w:rsid w:val="00680523"/>
    <w:rsid w:val="0068643F"/>
    <w:rsid w:val="006A3C52"/>
    <w:rsid w:val="006B1EBE"/>
    <w:rsid w:val="006B30BE"/>
    <w:rsid w:val="00707FF7"/>
    <w:rsid w:val="00726FF7"/>
    <w:rsid w:val="007477B0"/>
    <w:rsid w:val="00761450"/>
    <w:rsid w:val="00794201"/>
    <w:rsid w:val="00797466"/>
    <w:rsid w:val="007B311B"/>
    <w:rsid w:val="007E213C"/>
    <w:rsid w:val="007E50FC"/>
    <w:rsid w:val="007F20B7"/>
    <w:rsid w:val="007F70EA"/>
    <w:rsid w:val="007F75D2"/>
    <w:rsid w:val="008009C1"/>
    <w:rsid w:val="00806AB7"/>
    <w:rsid w:val="00807B65"/>
    <w:rsid w:val="00810420"/>
    <w:rsid w:val="008217DF"/>
    <w:rsid w:val="00827965"/>
    <w:rsid w:val="008302D6"/>
    <w:rsid w:val="00831F5A"/>
    <w:rsid w:val="00845C15"/>
    <w:rsid w:val="008537B9"/>
    <w:rsid w:val="0087126B"/>
    <w:rsid w:val="00882D5F"/>
    <w:rsid w:val="00890C87"/>
    <w:rsid w:val="008A065B"/>
    <w:rsid w:val="008B7708"/>
    <w:rsid w:val="008F5D3E"/>
    <w:rsid w:val="008F7BFE"/>
    <w:rsid w:val="0091080C"/>
    <w:rsid w:val="00911A54"/>
    <w:rsid w:val="00917C34"/>
    <w:rsid w:val="00937900"/>
    <w:rsid w:val="00952561"/>
    <w:rsid w:val="009A5C53"/>
    <w:rsid w:val="009B3DBE"/>
    <w:rsid w:val="009F679C"/>
    <w:rsid w:val="00A00DB7"/>
    <w:rsid w:val="00A06209"/>
    <w:rsid w:val="00A141B3"/>
    <w:rsid w:val="00A166F0"/>
    <w:rsid w:val="00A22848"/>
    <w:rsid w:val="00A264F6"/>
    <w:rsid w:val="00A62C20"/>
    <w:rsid w:val="00A66079"/>
    <w:rsid w:val="00A86608"/>
    <w:rsid w:val="00A90F47"/>
    <w:rsid w:val="00AA7786"/>
    <w:rsid w:val="00B05FDE"/>
    <w:rsid w:val="00B23A43"/>
    <w:rsid w:val="00B254E7"/>
    <w:rsid w:val="00B3182F"/>
    <w:rsid w:val="00B431A5"/>
    <w:rsid w:val="00B47D05"/>
    <w:rsid w:val="00B7651D"/>
    <w:rsid w:val="00B82AB8"/>
    <w:rsid w:val="00B84AED"/>
    <w:rsid w:val="00B911B9"/>
    <w:rsid w:val="00B93ED0"/>
    <w:rsid w:val="00B959F4"/>
    <w:rsid w:val="00BC2012"/>
    <w:rsid w:val="00BD04FF"/>
    <w:rsid w:val="00BD5716"/>
    <w:rsid w:val="00BE36A6"/>
    <w:rsid w:val="00BF7B32"/>
    <w:rsid w:val="00C1179B"/>
    <w:rsid w:val="00C36F57"/>
    <w:rsid w:val="00C50D40"/>
    <w:rsid w:val="00C8336F"/>
    <w:rsid w:val="00C86672"/>
    <w:rsid w:val="00C900CA"/>
    <w:rsid w:val="00CB113D"/>
    <w:rsid w:val="00CB70EF"/>
    <w:rsid w:val="00CC1159"/>
    <w:rsid w:val="00CD14A6"/>
    <w:rsid w:val="00D06E68"/>
    <w:rsid w:val="00D14FB4"/>
    <w:rsid w:val="00D17743"/>
    <w:rsid w:val="00D17FAB"/>
    <w:rsid w:val="00D242D3"/>
    <w:rsid w:val="00D710A1"/>
    <w:rsid w:val="00D93BFF"/>
    <w:rsid w:val="00DA483A"/>
    <w:rsid w:val="00DD2DDF"/>
    <w:rsid w:val="00DD536C"/>
    <w:rsid w:val="00DE4A83"/>
    <w:rsid w:val="00DF0276"/>
    <w:rsid w:val="00E032C3"/>
    <w:rsid w:val="00E06A31"/>
    <w:rsid w:val="00E26F59"/>
    <w:rsid w:val="00E300AF"/>
    <w:rsid w:val="00E45C86"/>
    <w:rsid w:val="00E61529"/>
    <w:rsid w:val="00E70224"/>
    <w:rsid w:val="00E73FA4"/>
    <w:rsid w:val="00E92B0F"/>
    <w:rsid w:val="00EB27AD"/>
    <w:rsid w:val="00EE3F40"/>
    <w:rsid w:val="00EF56F1"/>
    <w:rsid w:val="00F154BA"/>
    <w:rsid w:val="00F2415A"/>
    <w:rsid w:val="00F3050F"/>
    <w:rsid w:val="00F3419A"/>
    <w:rsid w:val="00FA7835"/>
    <w:rsid w:val="00FB7DAC"/>
    <w:rsid w:val="00FD2DDA"/>
    <w:rsid w:val="00FE6906"/>
    <w:rsid w:val="00FE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17B99B"/>
  <w14:defaultImageDpi w14:val="32767"/>
  <w15:chartTrackingRefBased/>
  <w15:docId w15:val="{3CCA6402-DFCB-4CB9-8FA7-28138BE8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FD2DDA"/>
    <w:rPr>
      <w:rFonts w:ascii="Century Gothic" w:hAnsi="Century Gothic"/>
      <w:sz w:val="16"/>
    </w:rPr>
  </w:style>
  <w:style w:type="paragraph" w:styleId="Titolo1">
    <w:name w:val="heading 1"/>
    <w:aliases w:val="HILLROM.COM"/>
    <w:basedOn w:val="Nessunaspaziatura"/>
    <w:next w:val="Normale"/>
    <w:link w:val="Titolo1Carattere"/>
    <w:uiPriority w:val="9"/>
    <w:qFormat/>
    <w:rsid w:val="00134E34"/>
    <w:pPr>
      <w:outlineLvl w:val="0"/>
    </w:pPr>
    <w:rPr>
      <w:b/>
      <w:color w:val="5369E5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9A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9AD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D49AD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9AD"/>
  </w:style>
  <w:style w:type="paragraph" w:styleId="Pidipagina">
    <w:name w:val="footer"/>
    <w:basedOn w:val="Normale"/>
    <w:link w:val="PidipaginaCarattere"/>
    <w:uiPriority w:val="99"/>
    <w:unhideWhenUsed/>
    <w:rsid w:val="000D49AD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9AD"/>
  </w:style>
  <w:style w:type="paragraph" w:customStyle="1" w:styleId="CenturyGothic-8pt-BOLD">
    <w:name w:val="Century Gothic - 8pt - BOLD"/>
    <w:basedOn w:val="Normale"/>
    <w:qFormat/>
    <w:rsid w:val="0068643F"/>
    <w:pPr>
      <w:spacing w:line="276" w:lineRule="auto"/>
      <w:ind w:left="284" w:right="232"/>
    </w:pPr>
    <w:rPr>
      <w:rFonts w:eastAsia="Times New Roman" w:cs="Open Sans"/>
      <w:b/>
      <w:color w:val="000000"/>
      <w:szCs w:val="16"/>
      <w:shd w:val="clear" w:color="auto" w:fill="FFFFFF"/>
      <w:lang w:val="en-US"/>
    </w:rPr>
  </w:style>
  <w:style w:type="paragraph" w:customStyle="1" w:styleId="CenturyGothic-8pt-REGULAR">
    <w:name w:val="Century Gothic - 8pt - REGULAR"/>
    <w:basedOn w:val="Corpotesto"/>
    <w:rsid w:val="004D20E3"/>
    <w:pPr>
      <w:spacing w:after="0" w:line="276" w:lineRule="auto"/>
      <w:ind w:left="284" w:right="232"/>
    </w:pPr>
    <w:rPr>
      <w:rFonts w:eastAsia="Times New Roman" w:cs="Open Sans"/>
      <w:color w:val="000000"/>
      <w:spacing w:val="10"/>
      <w:szCs w:val="16"/>
      <w:shd w:val="clear" w:color="auto" w:fill="FFFFFF"/>
      <w:lang w:val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91FF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91FFD"/>
  </w:style>
  <w:style w:type="paragraph" w:styleId="Titolo">
    <w:name w:val="Title"/>
    <w:basedOn w:val="CenturyGothic-8pt-BOLD"/>
    <w:next w:val="Normale"/>
    <w:link w:val="TitoloCarattere"/>
    <w:uiPriority w:val="10"/>
    <w:qFormat/>
    <w:rsid w:val="00FD2DDA"/>
  </w:style>
  <w:style w:type="paragraph" w:styleId="Corpotesto">
    <w:name w:val="Body Text"/>
    <w:basedOn w:val="Normale"/>
    <w:link w:val="CorpotestoCarattere"/>
    <w:uiPriority w:val="99"/>
    <w:semiHidden/>
    <w:unhideWhenUsed/>
    <w:rsid w:val="00591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91FFD"/>
  </w:style>
  <w:style w:type="character" w:customStyle="1" w:styleId="TitoloCarattere">
    <w:name w:val="Titolo Carattere"/>
    <w:basedOn w:val="Carpredefinitoparagrafo"/>
    <w:link w:val="Titolo"/>
    <w:uiPriority w:val="10"/>
    <w:rsid w:val="00FD2DDA"/>
    <w:rPr>
      <w:rFonts w:ascii="Open Sans" w:eastAsia="Times New Roman" w:hAnsi="Open Sans" w:cs="Open Sans"/>
      <w:b/>
      <w:color w:val="000000"/>
      <w:sz w:val="16"/>
      <w:szCs w:val="16"/>
      <w:lang w:val="en-US"/>
    </w:rPr>
  </w:style>
  <w:style w:type="paragraph" w:styleId="Indirizzodestinatario">
    <w:name w:val="envelope address"/>
    <w:basedOn w:val="Normale"/>
    <w:uiPriority w:val="99"/>
    <w:semiHidden/>
    <w:unhideWhenUsed/>
    <w:rsid w:val="00FD2DD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customStyle="1" w:styleId="BasicParagraph">
    <w:name w:val="[Basic Paragraph]"/>
    <w:basedOn w:val="Normale"/>
    <w:uiPriority w:val="99"/>
    <w:rsid w:val="00DE4A83"/>
    <w:pPr>
      <w:autoSpaceDE w:val="0"/>
      <w:autoSpaceDN w:val="0"/>
      <w:adjustRightInd w:val="0"/>
      <w:spacing w:line="288" w:lineRule="auto"/>
      <w:textAlignment w:val="center"/>
    </w:pPr>
    <w:rPr>
      <w:rFonts w:ascii="Gotham Book" w:hAnsi="Gotham Book" w:cs="Gotham Book"/>
      <w:color w:val="000000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E4A8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DE4A8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09C1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4D20E3"/>
    <w:rPr>
      <w:i/>
      <w:i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20E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20E3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essunaspaziatura">
    <w:name w:val="No Spacing"/>
    <w:aliases w:val="BOTTOM information"/>
    <w:basedOn w:val="Normale"/>
    <w:uiPriority w:val="1"/>
    <w:qFormat/>
    <w:rsid w:val="00134E34"/>
    <w:rPr>
      <w:color w:val="7D8F95"/>
      <w:sz w:val="13"/>
      <w:szCs w:val="13"/>
      <w:lang w:val="nl-NL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aliases w:val="HILLROM.COM Carattere"/>
    <w:basedOn w:val="Carpredefinitoparagrafo"/>
    <w:link w:val="Titolo1"/>
    <w:uiPriority w:val="9"/>
    <w:rsid w:val="00134E34"/>
    <w:rPr>
      <w:rFonts w:ascii="Century Gothic" w:hAnsi="Century Gothic"/>
      <w:b/>
      <w:color w:val="5369E5"/>
      <w:sz w:val="16"/>
      <w:szCs w:val="16"/>
      <w:lang w:val="nl-NL"/>
      <w14:textOutline w14:w="9525" w14:cap="rnd" w14:cmpd="sng" w14:algn="ctr">
        <w14:noFill/>
        <w14:prstDash w14:val="solid"/>
        <w14:bevel/>
      </w14:textOutline>
    </w:rPr>
  </w:style>
  <w:style w:type="paragraph" w:customStyle="1" w:styleId="paragraph">
    <w:name w:val="paragraph"/>
    <w:basedOn w:val="Normale"/>
    <w:rsid w:val="005306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paragraph" w:styleId="Paragrafoelenco">
    <w:name w:val="List Paragraph"/>
    <w:basedOn w:val="Normale"/>
    <w:uiPriority w:val="34"/>
    <w:qFormat/>
    <w:rsid w:val="00B05FD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it-IT"/>
    </w:rPr>
  </w:style>
  <w:style w:type="table" w:styleId="Grigliatabella">
    <w:name w:val="Table Grid"/>
    <w:basedOn w:val="Tabellanormale"/>
    <w:uiPriority w:val="59"/>
    <w:rsid w:val="00B05FDE"/>
    <w:rPr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806AB7"/>
  </w:style>
  <w:style w:type="character" w:customStyle="1" w:styleId="eop">
    <w:name w:val="eop"/>
    <w:basedOn w:val="Carpredefinitoparagrafo"/>
    <w:rsid w:val="00806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is2\Downloads\Letterhead_template_A4_O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36E4949008343A3D5764CA13B81C3" ma:contentTypeVersion="14" ma:contentTypeDescription="Create a new document." ma:contentTypeScope="" ma:versionID="5cd12cdccdc0829de8f8ccc542e6f178">
  <xsd:schema xmlns:xsd="http://www.w3.org/2001/XMLSchema" xmlns:xs="http://www.w3.org/2001/XMLSchema" xmlns:p="http://schemas.microsoft.com/office/2006/metadata/properties" xmlns:ns3="b6de4d52-1993-41d7-a09a-ce59549901eb" xmlns:ns4="72baf22a-5df3-4eab-84cd-e6302fb80877" targetNamespace="http://schemas.microsoft.com/office/2006/metadata/properties" ma:root="true" ma:fieldsID="bd530cf598323a6ed95c3b4271ca549f" ns3:_="" ns4:_="">
    <xsd:import namespace="b6de4d52-1993-41d7-a09a-ce59549901eb"/>
    <xsd:import namespace="72baf22a-5df3-4eab-84cd-e6302fb808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e4d52-1993-41d7-a09a-ce59549901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af22a-5df3-4eab-84cd-e6302fb80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C6118-3D33-4F6A-BFAB-581697CE2E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008718-898A-4BC7-8934-228175B6056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72baf22a-5df3-4eab-84cd-e6302fb80877"/>
    <ds:schemaRef ds:uri="b6de4d52-1993-41d7-a09a-ce59549901e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C6F01C-A3B4-42FD-953C-B9D71C428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e4d52-1993-41d7-a09a-ce59549901eb"/>
    <ds:schemaRef ds:uri="72baf22a-5df3-4eab-84cd-e6302fb808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F05624-1197-4920-B01B-2F2443A389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Letterhead_template_A4_OUS</Template>
  <TotalTime>1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Letterhead_template_A4_US</vt:lpstr>
      <vt:lpstr>Letterhead_template_A4_US</vt:lpstr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Letterhead_template_A4_US</dc:title>
  <dc:subject/>
  <dc:creator>Silvia Franci</dc:creator>
  <cp:keywords/>
  <dc:description/>
  <cp:lastModifiedBy>Crea, Simona</cp:lastModifiedBy>
  <cp:revision>2</cp:revision>
  <cp:lastPrinted>2021-12-17T09:18:00Z</cp:lastPrinted>
  <dcterms:created xsi:type="dcterms:W3CDTF">2023-06-19T13:47:00Z</dcterms:created>
  <dcterms:modified xsi:type="dcterms:W3CDTF">2023-06-19T13:47:00Z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0x01010009036E4949008343A3D5764CA13B81C3</vt:lpwstr>
  </property>
  <property fmtid="{D5CDD505-2E9C-101B-9397-08002B2CF9AE}" pid="3" name="HRC_TaxGlobalTeams">
    <vt:lpwstr/>
  </property>
  <property fmtid="{D5CDD505-2E9C-101B-9397-08002B2CF9AE}" pid="4" name="HRC_TaxBusinessUnit">
    <vt:lpwstr/>
  </property>
  <property fmtid="{D5CDD505-2E9C-101B-9397-08002B2CF9AE}" pid="5" name="HRC_TaxGeography">
    <vt:lpwstr/>
  </property>
  <property fmtid="{D5CDD505-2E9C-101B-9397-08002B2CF9AE}" pid="6" name="HRC_TaxBrands">
    <vt:lpwstr/>
  </property>
  <property fmtid="{D5CDD505-2E9C-101B-9397-08002B2CF9AE}" pid="7" name="HRC_TaxTopic">
    <vt:lpwstr/>
  </property>
</Properties>
</file>